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2020年医院特医食品常规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</w:rPr>
        <w:t>采购文件</w:t>
      </w:r>
      <w:r>
        <w:rPr>
          <w:rFonts w:hint="eastAsia" w:ascii="方正小标宋_GBK" w:hAnsi="方正小标宋_GBK" w:eastAsia="方正小标宋_GBK" w:cs="方正小标宋_GBK"/>
          <w:b/>
          <w:bCs/>
          <w:kern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kern w:val="0"/>
          <w:sz w:val="18"/>
        </w:rPr>
        <w:t>发布时间：2020-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18"/>
        </w:rPr>
        <w:t>-</w:t>
      </w:r>
      <w:r>
        <w:rPr>
          <w:rFonts w:hint="eastAsia" w:ascii="方正仿宋_GBK" w:hAnsi="方正仿宋_GBK" w:eastAsia="方正仿宋_GBK" w:cs="方正仿宋_GBK"/>
          <w:kern w:val="0"/>
          <w:sz w:val="18"/>
          <w:lang w:val="en-US" w:eastAsia="zh-CN"/>
        </w:rPr>
        <w:t>31</w:t>
      </w:r>
    </w:p>
    <w:p>
      <w:pPr>
        <w:adjustRightInd w:val="0"/>
        <w:snapToGrid w:val="0"/>
        <w:ind w:firstLine="420" w:firstLineChars="200"/>
        <w:rPr>
          <w:rFonts w:ascii="方正仿宋_GBK" w:hAnsi="方正仿宋_GBK" w:eastAsia="方正仿宋_GBK" w:cs="方正仿宋_GBK"/>
          <w:color w:val="000000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</w:rPr>
        <w:t>重庆市第四人民医院本着公平、公正、公开、诚信的原则，拟对本单位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2020年度特医食品的常规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采购进行竞争性谈判，现诚邀具有合格资质和良好配送能力的供应商参与竞争。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一、产品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概述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及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技术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要求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1.1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目录及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技术</w:t>
      </w: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</w:rPr>
        <w:t>要求：</w:t>
      </w:r>
    </w:p>
    <w:tbl>
      <w:tblPr>
        <w:tblStyle w:val="8"/>
        <w:tblW w:w="7745" w:type="dxa"/>
        <w:jc w:val="center"/>
        <w:tblInd w:w="-6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941"/>
        <w:gridCol w:w="53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序号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产品名称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技术参数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高能量密度型整蛋白液体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1.1供能比：蛋白质10%-20%,脂肪20%-30%，碳水化合物45%-60%；                                        1.2配方中蛋白质含量≧3g/100ml；                   1.3能量密度≧1.2kcal/1ml；                              1.4配方中可溶性膳食纤维含量≧1.2g/100ml；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1.5有特殊医学用途配方食品证书。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整蛋白粉剂(进口）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2.1供能比：蛋白质15%-20%,脂肪20%-35%，碳水化合物40%-55%；                                        2.2配方中蛋白质含量≧15g/100g；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2.3能量密度≧440kcal/100g；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2.4配方中含有有乳清蛋白、无乳糖；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2.5有特殊医学用途配方食品证书。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整蛋白粉剂(国产）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能量:4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Kcal/100g；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蛋白质：15.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g/100g；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碳水化合物cal：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g/100g；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脂肪：1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g/100g；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膳食纤维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3.6包装规格：46.4g/包*8包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短肽型全营养液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能量密度：399kcal/100g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蛋白质：4.0g/100ml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脂肪：2.2g/100ml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碳水化合物：15.8g/100ml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—亚油酸：545mg/100ml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4.6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—α亚麻酸：127mg/100ml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4.7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蛋白质：脂类：碳水化合物=16:19:64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4.8有孔可直接输注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短肽型全营养素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能量414kcal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蛋白质15.0g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脂肪6.7g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碳水化合物72.3g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低GI型（进口）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能量424kcal/100g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蛋白质：21.15g/100g；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脂肪：15.38g/100g；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碳水化合物：55.9g/100g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低GI型(国产）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7.1每100g营养素含蛋白质21.5g，脂肪15.5g，碳水化合物51.0g，膳食纤维6.0g；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7.2能量密度：443kcal/100g；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7.3多种维生素及微量元素。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8" w:hRule="atLeast"/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益生菌（进口）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三联益生菌:动物双歧杆菌、乳双歧杆菌、鼠李糖乳杆菌；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添加两种益生元：低聚果糖、低聚半乳糖；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每袋活性50亿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株。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益生菌（国产）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含七种益生菌（嗜酸乳杆菌、长双歧杆菌、副干酪乳杆菌、鼠李糖乳杆菌、发酵乳杆菌、瑞士乳杆菌、嗜热链球菌）；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两种益生元（低聚果糖、低聚异麦芽糖）；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2g/条含活菌数≥100亿株，每克≥50亿株活菌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术前碳水化合物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10.1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碳水化合物含量12.5g/100ml以上；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渗透压：等渗（280-320mmol/升）；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维生素B1,B6,B12；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硫磺酸，精氨酸；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10.5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不含脂肪和蛋白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分娩期碳水化合物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 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12.5%碳水化合物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11.2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单糖、双糖、多糖复合搭配，梯度供能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额外添加牛磺酸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11.4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添加维生素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谷氨酰胺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L-谷氨酰胺每100g含量98%以上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94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乳清蛋白</w:t>
            </w:r>
          </w:p>
        </w:tc>
        <w:tc>
          <w:tcPr>
            <w:tcW w:w="53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蛋白质含量90%，无蔗糖、无乳糖</w:t>
            </w:r>
          </w:p>
        </w:tc>
      </w:tr>
    </w:tbl>
    <w:p>
      <w:pPr>
        <w:adjustRightInd w:val="0"/>
        <w:snapToGrid w:val="0"/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0"/>
          <w:szCs w:val="21"/>
          <w:lang w:val="en-US" w:eastAsia="zh-CN"/>
        </w:rPr>
        <w:t>1.2产品参数依据：符合中国居民膳食营养素参考摄入量（2013版）要求，每天推荐使用量达到或接近符合RNI或AI。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、供应商资质要求：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.1基本资格条件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.1.1具有独立承担民事责任的能力；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.1.2具有良好的商业信誉和健全的财务会计制度；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.1.3具有履行合同所必需的设备和专业技术能力；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.1.4有依法缴纳税收和社会保障资金的良好记录；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.1.5参加政府采购活动近三年内，在经营活动中没有重大违法记录。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.2特定资格条件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.2.1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为所投产品制造商或经销商，若为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制造商的，须具备《食品生产许可证》，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若为经销商，须具备产品制造商认可的经销资格；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须具备有效期内《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食品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经营许可证》或《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食品流通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许可证》；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.3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在重庆应有仓储库房，具有较好的物流配送能力（一般在接到医院送货通知后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当日或次日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能送货到指定地点）。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需具有完善的销售供应和售后服务保障体系。若厂家售后服务差或产品出现异常情况，临床营养科有权无条件退货或立即终止合同，因营养制剂质量问题引起的后果，由供应商承担相应的法律责任。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须提供以下资质证明文件原件或复印件及其它要求的材料。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.5.1营业执照（副本）或事业单位法人证书（副本）复印件；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.5.2组织机构代码证、税务登记证复印件；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.5.3生产企业委托代理经销授权书（原件和复印件加盖鲜章）；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.5.4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法定代表人签发的授权委托书（须明确授权范围）及身份证明（复印件加盖鲜章）；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.5.5缴纳税收和社会保障金的证明材料复印件；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.5.6</w:t>
      </w:r>
      <w:r>
        <w:rPr>
          <w:rFonts w:hint="eastAsia" w:ascii="方正仿宋_GBK" w:hAnsi="方正仿宋_GBK" w:eastAsia="方正仿宋_GBK" w:cs="方正仿宋_GBK"/>
          <w:szCs w:val="21"/>
        </w:rPr>
        <w:t>“信用中国”网站(www.creditchina.gov.cn)</w:t>
      </w:r>
      <w:r>
        <w:rPr>
          <w:rFonts w:hint="eastAsia" w:ascii="方正仿宋_GBK" w:hAnsi="方正仿宋_GBK" w:eastAsia="方正仿宋_GBK" w:cs="方正仿宋_GBK"/>
          <w:szCs w:val="21"/>
          <w:lang w:val="en-US" w:eastAsia="zh-CN"/>
        </w:rPr>
        <w:t>和</w:t>
      </w:r>
      <w:r>
        <w:rPr>
          <w:rFonts w:hint="eastAsia" w:ascii="方正仿宋_GBK" w:hAnsi="方正仿宋_GBK" w:eastAsia="方正仿宋_GBK" w:cs="方正仿宋_GBK"/>
          <w:szCs w:val="21"/>
        </w:rPr>
        <w:t>"中国政府采购网"(www.ccgp.gov.cn)查询供应商信用记录；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.5.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投标产品信息表、质量及售后服务保证书、所投产品的用户名单及产品介绍、彩页资料等材料。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、商务要求：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.1提供投产品在重庆三甲医院用户名单、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营养科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联系人及联系电话；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付款方式：转账付款；经采购人验收合格，收到供应商发票后支付全款</w:t>
      </w:r>
      <w:r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  <w:t>。</w:t>
      </w:r>
    </w:p>
    <w:p>
      <w:pP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四、供应商须知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不得干扰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评审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活动，否则将废除其投标。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若未中标，本院无义务对各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做解释工作。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应保证所有资料的真实性。如提供不真实的材料，无论其材料是否重要，</w:t>
      </w:r>
      <w:r>
        <w:rPr>
          <w:rFonts w:hint="eastAsia" w:ascii="方正仿宋_GBK" w:hAnsi="方正仿宋_GBK" w:eastAsia="方正仿宋_GBK" w:cs="方正仿宋_GBK"/>
          <w:kern w:val="0"/>
          <w:szCs w:val="21"/>
          <w:lang w:eastAsia="zh-CN"/>
        </w:rPr>
        <w:t>供应商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需承担相应的后果及法律责任。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FF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4.4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理解并同意：最低报价非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中标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的唯一条件。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、成交供应商要求：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.1必须提供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出厂三个月内的产品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，提供的试剂在效期内出现任何质量问题，均无条件免费更换；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kern w:val="0"/>
          <w:szCs w:val="21"/>
          <w:lang w:val="zh-CN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zh-CN"/>
        </w:rPr>
        <w:t>若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采购人所购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zh-CN"/>
        </w:rPr>
        <w:t>产品离保质期三个月仍未使用，供应商须无条件退货或换货；</w:t>
      </w:r>
    </w:p>
    <w:p>
      <w:pPr>
        <w:adjustRightInd w:val="0"/>
        <w:snapToGrid w:val="0"/>
        <w:rPr>
          <w:rFonts w:hint="eastAsia"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5.3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在服务过程中无论何种原因造成未能满足医院需求达到四次时(如使用科室投诉产品质量、供货不及时等)，则供货协议自动终止；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5.4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成交供应商实际配送的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产品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必须与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所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提供的样品一致，不能以次充好或提供假冒伪劣产品，否则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采购人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有权单方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面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中止与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供应商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的供货协议并追究相关法律责任；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5.5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zh-CN"/>
        </w:rPr>
        <w:t>根据临床科室的实际使用情况来确定每批次采购量，不论数量多少，供应商都需无条件配送，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进口产品并需提供每批次的报关单</w:t>
      </w:r>
      <w:r>
        <w:rPr>
          <w:rFonts w:hint="eastAsia" w:ascii="方正仿宋_GBK" w:hAnsi="方正仿宋_GBK" w:eastAsia="方正仿宋_GBK" w:cs="方正仿宋_GBK"/>
          <w:color w:val="000000"/>
          <w:szCs w:val="21"/>
          <w:lang w:val="zh-CN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、响应文件要求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供应商应当按照需求公告的要求编制响应文件，对所提出的要求和条件做出实质性响应，编制技术条款差异表，同时编制完整的页码、目录；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.2响应文件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一式两份，其中正、副本各一份（注：封面应注明项目名称、供应商名称、联系人及电话，不需密封），报价一份（报价需密封）。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  <w:lang w:val="en-US" w:eastAsia="zh-CN"/>
        </w:rPr>
        <w:t>七</w:t>
      </w:r>
      <w:r>
        <w:rPr>
          <w:rFonts w:hint="eastAsia" w:ascii="方正仿宋_GBK" w:hAnsi="方正仿宋_GBK" w:eastAsia="方正仿宋_GBK" w:cs="方正仿宋_GBK"/>
          <w:b/>
          <w:bCs/>
          <w:kern w:val="0"/>
          <w:szCs w:val="21"/>
        </w:rPr>
        <w:t>、响应文件递交时限及联系方式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.1报名时限：请于20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日下午5:00前到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医院招标办（老大楼7-5室）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报名并拷取相关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采购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要求；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.2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递交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时限：请于20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年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月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日下午5:00前将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响应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文件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和所投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产品样本交至</w:t>
      </w: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招标办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，逾期不再受理；</w:t>
      </w:r>
    </w:p>
    <w:p>
      <w:pPr>
        <w:rPr>
          <w:rFonts w:hint="eastAsia" w:ascii="方正仿宋_GBK" w:hAnsi="方正仿宋_GBK" w:eastAsia="方正仿宋_GBK" w:cs="方正仿宋_GBK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7.3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递交地点：渝中区健康路1号（重庆市第四人民医院老大楼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7楼7-5室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）</w:t>
      </w:r>
      <w:r>
        <w:rPr>
          <w:rFonts w:hint="eastAsia" w:ascii="方正仿宋_GBK" w:hAnsi="方正仿宋_GBK" w:eastAsia="方正仿宋_GBK" w:cs="方正仿宋_GBK"/>
          <w:kern w:val="0"/>
          <w:szCs w:val="21"/>
        </w:rPr>
        <w:t>；</w:t>
      </w:r>
    </w:p>
    <w:p>
      <w:pPr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kern w:val="0"/>
          <w:szCs w:val="21"/>
          <w:lang w:val="en-US" w:eastAsia="zh-CN"/>
        </w:rPr>
        <w:t>7.4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郭老师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 xml:space="preserve"> 6369222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。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b/>
          <w:bCs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  <w:lang w:val="en-US" w:eastAsia="zh-CN"/>
        </w:rPr>
        <w:t>八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Cs w:val="21"/>
        </w:rPr>
        <w:t>、谈判时间及结果公示</w:t>
      </w:r>
    </w:p>
    <w:p>
      <w:pPr>
        <w:adjustRightInd w:val="0"/>
        <w:snapToGrid w:val="0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szCs w:val="21"/>
        </w:rPr>
        <w:t>.1谈判时间及地点：另行通知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color w:val="000000"/>
          <w:kern w:val="2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.2采购人将评审结果报我院有权审批部门审批后，即以电话形式告之中标人，并在“重庆市急救医疗中心”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官方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网站（www.cq120.com.cn）上发布结果公告；</w:t>
      </w:r>
    </w:p>
    <w:p>
      <w:pPr>
        <w:pStyle w:val="12"/>
        <w:adjustRightInd w:val="0"/>
        <w:snapToGrid w:val="0"/>
        <w:rPr>
          <w:rFonts w:ascii="方正仿宋_GBK" w:hAnsi="方正仿宋_GBK" w:eastAsia="方正仿宋_GBK" w:cs="方正仿宋_GBK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21"/>
          <w:szCs w:val="21"/>
        </w:rPr>
        <w:t>.3采购人无义务向其他供应商解释未成交原因，响应文件概不退还。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文鼎粗黑">
    <w:altName w:val="黑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昆仑楷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6F2"/>
    <w:rsid w:val="0001508D"/>
    <w:rsid w:val="000A6A8F"/>
    <w:rsid w:val="000C36F2"/>
    <w:rsid w:val="000C7590"/>
    <w:rsid w:val="001921E5"/>
    <w:rsid w:val="002060A8"/>
    <w:rsid w:val="00225749"/>
    <w:rsid w:val="0023239A"/>
    <w:rsid w:val="002421D1"/>
    <w:rsid w:val="0026404A"/>
    <w:rsid w:val="003074F3"/>
    <w:rsid w:val="00335826"/>
    <w:rsid w:val="0039487D"/>
    <w:rsid w:val="003E1E19"/>
    <w:rsid w:val="004063D6"/>
    <w:rsid w:val="004275C8"/>
    <w:rsid w:val="004F7FB2"/>
    <w:rsid w:val="00526E96"/>
    <w:rsid w:val="006238C5"/>
    <w:rsid w:val="0063484A"/>
    <w:rsid w:val="00665CAB"/>
    <w:rsid w:val="00737577"/>
    <w:rsid w:val="007A0BB9"/>
    <w:rsid w:val="007D7DB6"/>
    <w:rsid w:val="008003B4"/>
    <w:rsid w:val="008873EA"/>
    <w:rsid w:val="00891964"/>
    <w:rsid w:val="008B2379"/>
    <w:rsid w:val="00926A90"/>
    <w:rsid w:val="00AC2602"/>
    <w:rsid w:val="00AE6C92"/>
    <w:rsid w:val="00B2413C"/>
    <w:rsid w:val="00BC258C"/>
    <w:rsid w:val="00C13CF0"/>
    <w:rsid w:val="00C75000"/>
    <w:rsid w:val="00E00AE6"/>
    <w:rsid w:val="00E73DC9"/>
    <w:rsid w:val="00E93AA9"/>
    <w:rsid w:val="00F30B28"/>
    <w:rsid w:val="00F55999"/>
    <w:rsid w:val="00F805C2"/>
    <w:rsid w:val="00F95E92"/>
    <w:rsid w:val="015033A1"/>
    <w:rsid w:val="0A1D68B3"/>
    <w:rsid w:val="101E7372"/>
    <w:rsid w:val="120D6F1B"/>
    <w:rsid w:val="1F591F5B"/>
    <w:rsid w:val="2BAD3246"/>
    <w:rsid w:val="2CB113C4"/>
    <w:rsid w:val="4B6E42A4"/>
    <w:rsid w:val="65DB7408"/>
    <w:rsid w:val="6ABE6BC3"/>
    <w:rsid w:val="6D896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widowControl/>
      <w:pBdr>
        <w:bottom w:val="single" w:color="4F81BD" w:themeColor="accent1" w:sz="8" w:space="1"/>
      </w:pBdr>
      <w:spacing w:before="200" w:after="80"/>
      <w:jc w:val="left"/>
      <w:outlineLvl w:val="1"/>
    </w:pPr>
    <w:rPr>
      <w:rFonts w:asciiTheme="majorHAnsi" w:hAnsiTheme="majorHAnsi" w:eastAsiaTheme="majorEastAsia" w:cstheme="majorBidi"/>
      <w:color w:val="366091" w:themeColor="accent1" w:themeShade="BF"/>
      <w:kern w:val="0"/>
      <w:sz w:val="24"/>
      <w:szCs w:val="24"/>
      <w:lang w:eastAsia="en-US" w:bidi="en-US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" w:beforeLines="20" w:after="20" w:afterLines="20" w:line="380" w:lineRule="exact"/>
      <w:ind w:firstLine="67" w:firstLineChars="67"/>
      <w:outlineLvl w:val="2"/>
    </w:pPr>
    <w:rPr>
      <w:rFonts w:ascii="Verdana" w:hAnsi="Verdana" w:eastAsia="黑体"/>
      <w:b/>
      <w:bCs/>
      <w:sz w:val="27"/>
      <w:szCs w:val="32"/>
    </w:rPr>
  </w:style>
  <w:style w:type="character" w:default="1" w:styleId="7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nhideWhenUsed/>
    <w:qFormat/>
    <w:uiPriority w:val="99"/>
    <w:pPr>
      <w:jc w:val="left"/>
    </w:p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5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customStyle="1" w:styleId="12">
    <w:name w:val="_Style 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13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300</Words>
  <Characters>1711</Characters>
  <Lines>14</Lines>
  <Paragraphs>4</Paragraphs>
  <ScaleCrop>false</ScaleCrop>
  <LinksUpToDate>false</LinksUpToDate>
  <CharactersWithSpaces>2007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2017-08-28T01:43:00Z</dcterms:created>
  <dc:creator>微软用户</dc:creator>
  <cp:lastModifiedBy>ZBB</cp:lastModifiedBy>
  <cp:lastPrinted>2018-09-11T02:51:00Z</cp:lastPrinted>
  <dcterms:modified xsi:type="dcterms:W3CDTF">2020-03-31T02:50:02Z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