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神经外科高值耗材常规采购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需求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5-26</w:t>
      </w:r>
    </w:p>
    <w:p>
      <w:pPr>
        <w:ind w:firstLine="420" w:firstLineChars="20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拟于近期对以下产品进行院内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竞争性谈判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，欢迎具有相关资质且有良好信誉和配送能力的单位（公司）参加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一、产品目录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及要求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：</w:t>
      </w:r>
    </w:p>
    <w:tbl>
      <w:tblPr>
        <w:tblStyle w:val="5"/>
        <w:tblW w:w="8516" w:type="dxa"/>
        <w:jc w:val="center"/>
        <w:tblInd w:w="5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376"/>
        <w:gridCol w:w="3212"/>
        <w:gridCol w:w="883"/>
        <w:gridCol w:w="743"/>
        <w:gridCol w:w="19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3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系列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品  名</w:t>
            </w:r>
          </w:p>
        </w:tc>
        <w:tc>
          <w:tcPr>
            <w:tcW w:w="8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类型及规格要求</w:t>
            </w:r>
          </w:p>
        </w:tc>
        <w:tc>
          <w:tcPr>
            <w:tcW w:w="7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使用科室</w:t>
            </w: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颅骨修复材料及固定材料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钛网</w:t>
            </w:r>
          </w:p>
        </w:tc>
        <w:tc>
          <w:tcPr>
            <w:tcW w:w="88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全规格</w:t>
            </w:r>
          </w:p>
        </w:tc>
        <w:tc>
          <w:tcPr>
            <w:tcW w:w="743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神经外科</w:t>
            </w: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钛钉、钛连接片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颅骨骨孔修复材料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PEEK材料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颅内外引流系列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颅脑外引流管</w:t>
            </w:r>
            <w:bookmarkStart w:id="0" w:name="_GoBack"/>
            <w:bookmarkEnd w:id="0"/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腰大池外引流管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脑室腹腔及腰池腹腔分流管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7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脑膜系列</w:t>
            </w: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可吸收生物膜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7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3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不可吸收生物膜</w:t>
            </w:r>
          </w:p>
        </w:tc>
        <w:tc>
          <w:tcPr>
            <w:tcW w:w="88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</w:p>
        </w:tc>
        <w:tc>
          <w:tcPr>
            <w:tcW w:w="743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19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所投产品规格应尽可能的齐全。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资质要求：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3.1基本资格条件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具有独立承担民事责任的能力；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具有良好的商业信誉和健全的财务会计制度；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具有履行合同所必需的设备和专业技术能力；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有依法缴纳税收和社会保障资金的良好记录；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参加政府采购活动近三年内，在经营活动中没有重大违法记录。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为所投标产品制造商或经销商，若为经销商投标，须具备产品制造商认可的经销资格；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须具有所投标产品有效期内的《中华人民共和国医疗器械注册证》，若注册证有附件的，还须提供附件《医疗器械产品注册登记表》；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投标人须具备有效期内《医疗器械经营企业许可证》或《医疗器械经营许可证》；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必须是重庆药交所注册会员，产品应当是重庆药交所注册产品（暂未注册的必须提交注册承诺书及其他证明材料）。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在重庆应有仓储库房，具有较好的物流配送能力（一般在接到医院送货通知后当日或次日能送货到指定地点）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3.4供应商需具有完善的销售供应和售后服务保障体系。对于出现不符合质量标准的产品包退包换；须于接到采购人售后服务通知的1个工作日内，派专业人员上门处理相关服务需求。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3.5</w:t>
      </w:r>
      <w:r>
        <w:rPr>
          <w:rFonts w:hint="eastAsia" w:ascii="方正仿宋_GBK" w:hAnsi="方正仿宋_GBK" w:eastAsia="方正仿宋_GBK" w:cs="方正仿宋_GBK"/>
          <w:color w:val="000000"/>
          <w:kern w:val="0"/>
          <w:szCs w:val="21"/>
          <w:lang w:val="en-US" w:eastAsia="zh-CN"/>
        </w:rPr>
        <w:t>所投产品的销售业绩良好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.1营业执照（副本）或事业单位法人证书（副本）复印件；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.3生产企业委托代理经销授权书（原件和复印件加盖鲜章）；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.5缴纳税收和社会保障金的证明材料复印件；</w:t>
      </w:r>
    </w:p>
    <w:p>
      <w:pPr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3.6.7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《医疗器械生产企业许可证》或《医疗器械经营企业许可证》（复印件加盖鲜章）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《重庆药品交易所入市协议》、《法人单位数字证书申请表》（复印件加盖鲜章）；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产品《医疗器械注册证》、《医疗器械产品注册登记表》及其附件；属3C认证范围的必须提供3C认证书（复印件加盖鲜章）；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3.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9提供所投产品销售业绩的相关证明材料，如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3.6.10所投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产品样本1套（供评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使用）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3.6.11所投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产品信息表、质量及售后服务保证书、所投产品的用户名单及产品介绍、彩页资料等材料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五、成交供应商要求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服务过程中无论何种原因造成未能满足医院需求达到四次时(如使用科室投诉产品质量、供货不及时等)，则供货协议自动终止；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实际配送的货物必须与投标时提供的样品一致，不能以次充好或提供假冒伪劣产品，否则本单位有权单方中止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其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供货并追究相关法律责任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六、响应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文件要求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6.1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供应商应当按照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需求公告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的要求编制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文件，对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提出的要求和条件做出实质性响应，编制技术条款差异表，同时编制完整的页码、目录；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6.2响应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一式两份，其中正、副本各一份（注：封面应注明项目名称、供应商名称、联系人及电话，不需密封），报价一份（注：报价需密封）。</w:t>
      </w:r>
    </w:p>
    <w:p>
      <w:pPr>
        <w:numPr>
          <w:ilvl w:val="0"/>
          <w:numId w:val="1"/>
        </w:num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响应文件递交时限及其它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29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2"/>
          <w:sz w:val="21"/>
          <w:szCs w:val="21"/>
          <w:lang w:val="en-US" w:eastAsia="zh-CN"/>
        </w:rPr>
        <w:t>八、谈判时间及结果公示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8.1谈判时间及地点：另行通知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中标人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采购人无义务向其他供应商解释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未成交的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原因，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文件概不退还。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C8881"/>
    <w:multiLevelType w:val="singleLevel"/>
    <w:tmpl w:val="5ECC8881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95E92"/>
    <w:rsid w:val="05E36595"/>
    <w:rsid w:val="09696230"/>
    <w:rsid w:val="0A1D68B3"/>
    <w:rsid w:val="0B5D455C"/>
    <w:rsid w:val="1C097A9D"/>
    <w:rsid w:val="26C23BA8"/>
    <w:rsid w:val="2BAD3246"/>
    <w:rsid w:val="2EA96EF9"/>
    <w:rsid w:val="2F524F96"/>
    <w:rsid w:val="2F993071"/>
    <w:rsid w:val="2FA36DA4"/>
    <w:rsid w:val="32382609"/>
    <w:rsid w:val="32A32954"/>
    <w:rsid w:val="38157C37"/>
    <w:rsid w:val="3EB409B9"/>
    <w:rsid w:val="3FB83D46"/>
    <w:rsid w:val="429F3A6B"/>
    <w:rsid w:val="43125D48"/>
    <w:rsid w:val="56652D8A"/>
    <w:rsid w:val="7B5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150</Words>
  <Characters>858</Characters>
  <Lines>7</Lines>
  <Paragraphs>2</Paragraphs>
  <ScaleCrop>false</ScaleCrop>
  <LinksUpToDate>false</LinksUpToDate>
  <CharactersWithSpaces>1006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2020-05-26T03:07:09Z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