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手术用体位垫常规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</w:rPr>
        <w:t>采购文件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8</w:t>
      </w:r>
    </w:p>
    <w:p>
      <w:pPr>
        <w:jc w:val="center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kern w:val="0"/>
          <w:sz w:val="18"/>
        </w:rPr>
        <w:t>发布时间：2020-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31</w:t>
      </w:r>
    </w:p>
    <w:p>
      <w:pPr>
        <w:adjustRightInd w:val="0"/>
        <w:snapToGrid w:val="0"/>
        <w:ind w:firstLine="420" w:firstLineChars="200"/>
        <w:rPr>
          <w:rFonts w:ascii="方正仿宋_GBK" w:hAnsi="方正仿宋_GBK" w:eastAsia="方正仿宋_GBK" w:cs="方正仿宋_GBK"/>
          <w:color w:val="000000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重庆市第四人民医院本着公平、公正、公开、诚信的原则，拟对本单位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手术用体位垫的常规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采购进行竞争性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比选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，现诚邀具有合格资质和良好配送能力的供应商参与竞争。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一、产品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概述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及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技术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要求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  <w:t>1.1产品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</w:rPr>
        <w:t>目录：</w:t>
      </w:r>
    </w:p>
    <w:tbl>
      <w:tblPr>
        <w:tblStyle w:val="9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2890"/>
        <w:gridCol w:w="1704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8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7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17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规格</w:t>
            </w:r>
          </w:p>
        </w:tc>
        <w:tc>
          <w:tcPr>
            <w:tcW w:w="17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材质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890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俯卧位头垫</w:t>
            </w:r>
          </w:p>
        </w:tc>
        <w:tc>
          <w:tcPr>
            <w:tcW w:w="1704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2个</w:t>
            </w:r>
          </w:p>
        </w:tc>
        <w:tc>
          <w:tcPr>
            <w:tcW w:w="17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230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200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120</w:t>
            </w:r>
          </w:p>
        </w:tc>
        <w:tc>
          <w:tcPr>
            <w:tcW w:w="170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硅胶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890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俯卧位垫</w:t>
            </w:r>
          </w:p>
        </w:tc>
        <w:tc>
          <w:tcPr>
            <w:tcW w:w="1704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2个</w:t>
            </w:r>
          </w:p>
        </w:tc>
        <w:tc>
          <w:tcPr>
            <w:tcW w:w="1704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600*430*160</w:t>
            </w:r>
          </w:p>
        </w:tc>
        <w:tc>
          <w:tcPr>
            <w:tcW w:w="1704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890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凹形体位垫</w:t>
            </w:r>
          </w:p>
        </w:tc>
        <w:tc>
          <w:tcPr>
            <w:tcW w:w="1704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3个</w:t>
            </w:r>
          </w:p>
        </w:tc>
        <w:tc>
          <w:tcPr>
            <w:tcW w:w="1704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510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150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*40</w:t>
            </w:r>
          </w:p>
        </w:tc>
        <w:tc>
          <w:tcPr>
            <w:tcW w:w="1704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890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半圆形体位垫</w:t>
            </w:r>
          </w:p>
        </w:tc>
        <w:tc>
          <w:tcPr>
            <w:tcW w:w="1704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3个</w:t>
            </w:r>
          </w:p>
        </w:tc>
        <w:tc>
          <w:tcPr>
            <w:tcW w:w="1704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350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150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75</w:t>
            </w:r>
          </w:p>
        </w:tc>
        <w:tc>
          <w:tcPr>
            <w:tcW w:w="1704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890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圆形头圈</w:t>
            </w:r>
          </w:p>
        </w:tc>
        <w:tc>
          <w:tcPr>
            <w:tcW w:w="1704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5个</w:t>
            </w:r>
          </w:p>
        </w:tc>
        <w:tc>
          <w:tcPr>
            <w:tcW w:w="1704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Ø200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*50</w:t>
            </w:r>
          </w:p>
        </w:tc>
        <w:tc>
          <w:tcPr>
            <w:tcW w:w="1704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890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开放式头圈</w:t>
            </w:r>
          </w:p>
        </w:tc>
        <w:tc>
          <w:tcPr>
            <w:tcW w:w="1704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2个</w:t>
            </w:r>
          </w:p>
        </w:tc>
        <w:tc>
          <w:tcPr>
            <w:tcW w:w="1704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Ø200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*50</w:t>
            </w:r>
          </w:p>
        </w:tc>
        <w:tc>
          <w:tcPr>
            <w:tcW w:w="1704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890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通用型头枕</w:t>
            </w:r>
          </w:p>
        </w:tc>
        <w:tc>
          <w:tcPr>
            <w:tcW w:w="1704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5个</w:t>
            </w:r>
          </w:p>
        </w:tc>
        <w:tc>
          <w:tcPr>
            <w:tcW w:w="1704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272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237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90</w:t>
            </w:r>
          </w:p>
        </w:tc>
        <w:tc>
          <w:tcPr>
            <w:tcW w:w="1704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890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骨科床专用柱垫</w:t>
            </w:r>
          </w:p>
        </w:tc>
        <w:tc>
          <w:tcPr>
            <w:tcW w:w="1704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1个</w:t>
            </w:r>
          </w:p>
        </w:tc>
        <w:tc>
          <w:tcPr>
            <w:tcW w:w="1704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460*210*8</w:t>
            </w:r>
          </w:p>
        </w:tc>
        <w:tc>
          <w:tcPr>
            <w:tcW w:w="1704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890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斜型垫</w:t>
            </w:r>
          </w:p>
        </w:tc>
        <w:tc>
          <w:tcPr>
            <w:tcW w:w="1704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1个</w:t>
            </w:r>
          </w:p>
        </w:tc>
        <w:tc>
          <w:tcPr>
            <w:tcW w:w="1704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200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 xml:space="preserve"> 250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100</w:t>
            </w:r>
          </w:p>
        </w:tc>
        <w:tc>
          <w:tcPr>
            <w:tcW w:w="1704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890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柱型体位垫</w:t>
            </w:r>
          </w:p>
        </w:tc>
        <w:tc>
          <w:tcPr>
            <w:tcW w:w="1704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2个</w:t>
            </w:r>
          </w:p>
        </w:tc>
        <w:tc>
          <w:tcPr>
            <w:tcW w:w="1704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 xml:space="preserve">100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500</w:t>
            </w:r>
          </w:p>
        </w:tc>
        <w:tc>
          <w:tcPr>
            <w:tcW w:w="1704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2890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体部固定带</w:t>
            </w:r>
          </w:p>
        </w:tc>
        <w:tc>
          <w:tcPr>
            <w:tcW w:w="1704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2个</w:t>
            </w:r>
          </w:p>
        </w:tc>
        <w:tc>
          <w:tcPr>
            <w:tcW w:w="1704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505*85*8</w:t>
            </w:r>
          </w:p>
        </w:tc>
        <w:tc>
          <w:tcPr>
            <w:tcW w:w="1704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2890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踝部固定带</w:t>
            </w:r>
          </w:p>
        </w:tc>
        <w:tc>
          <w:tcPr>
            <w:tcW w:w="1704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2个</w:t>
            </w:r>
          </w:p>
        </w:tc>
        <w:tc>
          <w:tcPr>
            <w:tcW w:w="1704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180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100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70</w:t>
            </w:r>
          </w:p>
        </w:tc>
        <w:tc>
          <w:tcPr>
            <w:tcW w:w="1704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2890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腕关节固定带</w:t>
            </w:r>
          </w:p>
        </w:tc>
        <w:tc>
          <w:tcPr>
            <w:tcW w:w="1704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2个</w:t>
            </w:r>
          </w:p>
        </w:tc>
        <w:tc>
          <w:tcPr>
            <w:tcW w:w="1704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315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45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704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2890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电刀负极板回路垫</w:t>
            </w:r>
          </w:p>
        </w:tc>
        <w:tc>
          <w:tcPr>
            <w:tcW w:w="1704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1张</w:t>
            </w:r>
          </w:p>
        </w:tc>
        <w:tc>
          <w:tcPr>
            <w:tcW w:w="1704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二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、供应商资质要求：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.1基本资格条件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.1.1具有独立承担民事责任的能力；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.1.2具有良好的商业信誉和健全的财务会计制度；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.1.3具有履行合同所必需的设备和专业技术能力；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.1.4有依法缴纳税收和社会保障资金的良好记录；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.1.5参加政府采购活动近三年内，在经营活动中没有重大违法记录。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.2特定资格条件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2.2.1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为所投标产品制造商或经销商，若为经销商投标，须具备产品制造商认可的经销资格；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2.2.2供应商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须具备有效期内《医疗器械经营企业许可证》或《第二类医疗器械经营备案凭证》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在重庆应有仓储库房，具有较好的物流配送能力（一般在接到医院送货通知后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当日或次日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能送货到指定地点）。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.4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需具有完善的销售供应和售后服务保障体系。若厂家售后服务差或产品出现异常情况，临床营养科有权无条件退货或立即终止合同，因营养制剂质量问题引起的后果，由供应商承担相应的法律责任。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须提供以下资质证明文件原件或复印件及其它要求的材料。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.5.1营业执照（副本）或事业单位法人证书（副本）复印件；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.5.2组织机构代码证、税务登记证复印件；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.5.3生产企业委托代理经销授权书（原件和复印件加盖鲜章）；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.5.4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单位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法定代表人签发的授权委托书（须明确授权范围）及身份证明（复印件加盖鲜章）；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.5.5缴纳税收和社会保障金的证明材料复印件；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.5.6</w:t>
      </w:r>
      <w:r>
        <w:rPr>
          <w:rFonts w:hint="eastAsia" w:ascii="方正仿宋_GBK" w:hAnsi="方正仿宋_GBK" w:eastAsia="方正仿宋_GBK" w:cs="方正仿宋_GBK"/>
          <w:szCs w:val="21"/>
        </w:rPr>
        <w:t>“信用中国”网站(www.creditchina.gov.cn)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szCs w:val="21"/>
        </w:rPr>
        <w:t>"中国政府采购网"(www.ccgp.gov.cn)查询供应商信用记录；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2.5.7提供所投产品销售业绩的相关证明材料，如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销售合同或</w:t>
      </w:r>
      <w:r>
        <w:rPr>
          <w:rFonts w:hint="eastAsia" w:ascii="方正仿宋_GBK" w:hAnsi="方正仿宋_GBK" w:eastAsia="方正仿宋_GBK" w:cs="方正仿宋_GBK"/>
          <w:szCs w:val="21"/>
        </w:rPr>
        <w:t>医院用户名单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szCs w:val="21"/>
        </w:rPr>
        <w:t>联系人及联系电话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2.5.8所投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产品样本1套（供评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使用）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投标产品信息表、质量及售后服务保证书、所投产品的用户名单及产品介绍、彩页资料等材料。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、商务要求：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3.1产品质保期：</w:t>
      </w:r>
      <w:r>
        <w:rPr>
          <w:rFonts w:hint="eastAsia" w:ascii="仿宋" w:hAnsi="仿宋" w:eastAsia="仿宋" w:cs="仿宋"/>
          <w:kern w:val="0"/>
          <w:szCs w:val="21"/>
          <w:lang w:val="en-US" w:eastAsia="zh-CN"/>
        </w:rPr>
        <w:t>≥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3年；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Cs w:val="21"/>
        </w:rPr>
        <w:t>付款方式：验收合格后付95%货款，5%余款在质保期满后支付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3.3</w:t>
      </w:r>
      <w:r>
        <w:rPr>
          <w:rFonts w:hint="eastAsia" w:ascii="方正仿宋_GBK" w:hAnsi="方正仿宋_GBK" w:eastAsia="方正仿宋_GBK" w:cs="方正仿宋_GBK"/>
          <w:szCs w:val="21"/>
        </w:rPr>
        <w:t>提供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产品</w:t>
      </w:r>
      <w:r>
        <w:rPr>
          <w:rFonts w:hint="eastAsia" w:ascii="方正仿宋_GBK" w:hAnsi="方正仿宋_GBK" w:eastAsia="方正仿宋_GBK" w:cs="方正仿宋_GBK"/>
          <w:szCs w:val="21"/>
        </w:rPr>
        <w:t>在重庆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主城九区医院</w:t>
      </w:r>
      <w:r>
        <w:rPr>
          <w:rFonts w:hint="eastAsia" w:ascii="方正仿宋_GBK" w:hAnsi="方正仿宋_GBK" w:eastAsia="方正仿宋_GBK" w:cs="方正仿宋_GBK"/>
          <w:szCs w:val="21"/>
        </w:rPr>
        <w:t>的用户名单、联系人及联系电话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四、供应商须知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不得干扰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采购人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评审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活动，否则将废除其投标。</w:t>
      </w:r>
      <w:bookmarkStart w:id="0" w:name="_GoBack"/>
      <w:bookmarkEnd w:id="0"/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若未中标，本院无义务对各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做解释工作。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应保证所有资料的真实性。如提供不真实的材料，无论其材料是否重要，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需承担相应的后果及法律责任。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color w:val="FF0000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理解并同意：最低报价非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中标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的唯一条件。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五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、响应文件要求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供应商应当按照需求公告的要求编制响应文件，对所提出的要求和条件做出实质性响应，编制技术条款差异表，同时编制完整的页码、目录；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.2响应文件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一式两份，其中正、副本各一份（注：封面应注明项目名称、供应商名称、联系人及电话，不需密封），报价一份（报价需密封）。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六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、响应文件递交时限及联系方式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1递交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时限：请于20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日下午5:00前将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文件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和所投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产品样本交至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招标办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，逾期不再受理；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递交地点：渝中区健康路1号（重庆市第四人民医院老大楼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7楼7-5室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rPr>
          <w:rFonts w:ascii="方正仿宋_GBK" w:hAnsi="方正仿宋_GBK" w:eastAsia="方正仿宋_GBK" w:cs="方正仿宋_GBK"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联系人及电话：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郭老师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15086825698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  <w:lang w:val="en-US" w:eastAsia="zh-CN"/>
        </w:rPr>
        <w:t>八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</w:rPr>
        <w:t>、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  <w:lang w:val="en-US" w:eastAsia="zh-CN"/>
        </w:rPr>
        <w:t>比选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</w:rPr>
        <w:t>时间及结果公示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.1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比选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时间及地点：另行通知</w:t>
      </w:r>
    </w:p>
    <w:p>
      <w:pPr>
        <w:pStyle w:val="13"/>
        <w:adjustRightInd w:val="0"/>
        <w:snapToGrid w:val="0"/>
        <w:rPr>
          <w:rFonts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.2采购人将评审结果报我院有权审批部门审批后，即以电话形式告之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成交供应商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，并在“重庆市急救医疗中心”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官方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网站（www.cq120.com.cn）上发布结果公告；</w:t>
      </w:r>
    </w:p>
    <w:p>
      <w:pPr>
        <w:pStyle w:val="13"/>
        <w:adjustRightInd w:val="0"/>
        <w:snapToGrid w:val="0"/>
        <w:rPr>
          <w:rFonts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.3采购人无义务向其他供应商解释未成交原因，响应文件概不退还。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鼎粗黑">
    <w:altName w:val="黑体"/>
    <w:panose1 w:val="020B0609010101010101"/>
    <w:charset w:val="86"/>
    <w:family w:val="modern"/>
    <w:pitch w:val="default"/>
    <w:sig w:usb0="00000000" w:usb1="00000000" w:usb2="0000001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36F2"/>
    <w:rsid w:val="0001508D"/>
    <w:rsid w:val="000A6A8F"/>
    <w:rsid w:val="000C36F2"/>
    <w:rsid w:val="000C7590"/>
    <w:rsid w:val="001921E5"/>
    <w:rsid w:val="002060A8"/>
    <w:rsid w:val="00225749"/>
    <w:rsid w:val="0023239A"/>
    <w:rsid w:val="002421D1"/>
    <w:rsid w:val="0026404A"/>
    <w:rsid w:val="003074F3"/>
    <w:rsid w:val="00335826"/>
    <w:rsid w:val="0039487D"/>
    <w:rsid w:val="003E1E19"/>
    <w:rsid w:val="004063D6"/>
    <w:rsid w:val="004275C8"/>
    <w:rsid w:val="004F7FB2"/>
    <w:rsid w:val="00526E96"/>
    <w:rsid w:val="006238C5"/>
    <w:rsid w:val="0063484A"/>
    <w:rsid w:val="00665CAB"/>
    <w:rsid w:val="00737577"/>
    <w:rsid w:val="007A0BB9"/>
    <w:rsid w:val="007D7DB6"/>
    <w:rsid w:val="008003B4"/>
    <w:rsid w:val="008873EA"/>
    <w:rsid w:val="00891964"/>
    <w:rsid w:val="008B2379"/>
    <w:rsid w:val="00926A90"/>
    <w:rsid w:val="00AC2602"/>
    <w:rsid w:val="00AE6C92"/>
    <w:rsid w:val="00B2413C"/>
    <w:rsid w:val="00BC258C"/>
    <w:rsid w:val="00C13CF0"/>
    <w:rsid w:val="00C75000"/>
    <w:rsid w:val="00E00AE6"/>
    <w:rsid w:val="00E73DC9"/>
    <w:rsid w:val="00E93AA9"/>
    <w:rsid w:val="00F30B28"/>
    <w:rsid w:val="00F55999"/>
    <w:rsid w:val="00F805C2"/>
    <w:rsid w:val="00F95E92"/>
    <w:rsid w:val="015033A1"/>
    <w:rsid w:val="0A1D68B3"/>
    <w:rsid w:val="101E7372"/>
    <w:rsid w:val="120D6F1B"/>
    <w:rsid w:val="1AD235B0"/>
    <w:rsid w:val="1F591F5B"/>
    <w:rsid w:val="25141294"/>
    <w:rsid w:val="2A926A4A"/>
    <w:rsid w:val="2BAD3246"/>
    <w:rsid w:val="2CB113C4"/>
    <w:rsid w:val="4B6E42A4"/>
    <w:rsid w:val="4F374E18"/>
    <w:rsid w:val="65DB7408"/>
    <w:rsid w:val="6ABE6BC3"/>
    <w:rsid w:val="6D8961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widowControl/>
      <w:pBdr>
        <w:bottom w:val="single" w:color="4F81BD" w:themeColor="accent1" w:sz="8" w:space="1"/>
      </w:pBdr>
      <w:spacing w:before="200" w:after="80"/>
      <w:jc w:val="left"/>
      <w:outlineLvl w:val="1"/>
    </w:pPr>
    <w:rPr>
      <w:rFonts w:asciiTheme="majorHAnsi" w:hAnsiTheme="majorHAnsi" w:eastAsiaTheme="majorEastAsia" w:cstheme="majorBidi"/>
      <w:color w:val="366091" w:themeColor="accent1" w:themeShade="BF"/>
      <w:kern w:val="0"/>
      <w:sz w:val="24"/>
      <w:szCs w:val="24"/>
      <w:lang w:eastAsia="en-US" w:bidi="en-US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0" w:beforeLines="20" w:after="20" w:afterLines="20" w:line="380" w:lineRule="exact"/>
      <w:ind w:firstLine="67" w:firstLineChars="67"/>
      <w:outlineLvl w:val="2"/>
    </w:pPr>
    <w:rPr>
      <w:rFonts w:ascii="Verdana" w:hAnsi="Verdana" w:eastAsia="黑体"/>
      <w:b/>
      <w:bCs/>
      <w:sz w:val="27"/>
      <w:szCs w:val="32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nhideWhenUsed/>
    <w:qFormat/>
    <w:uiPriority w:val="99"/>
    <w:pPr>
      <w:jc w:val="left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_Style 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14">
    <w:name w:val="图例"/>
    <w:basedOn w:val="1"/>
    <w:qFormat/>
    <w:uiPriority w:val="0"/>
    <w:pPr>
      <w:spacing w:before="120" w:after="120" w:line="360" w:lineRule="auto"/>
      <w:jc w:val="center"/>
    </w:pPr>
    <w:rPr>
      <w:rFonts w:eastAsia="仿宋_GB2312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300</Words>
  <Characters>1711</Characters>
  <Lines>14</Lines>
  <Paragraphs>4</Paragraphs>
  <ScaleCrop>false</ScaleCrop>
  <LinksUpToDate>false</LinksUpToDate>
  <CharactersWithSpaces>2007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2017-08-28T01:43:00Z</dcterms:created>
  <dc:creator>微软用户</dc:creator>
  <cp:lastModifiedBy>ZBB</cp:lastModifiedBy>
  <cp:lastPrinted>2018-09-11T02:51:00Z</cp:lastPrinted>
  <dcterms:modified xsi:type="dcterms:W3CDTF">2020-08-31T08:31:12Z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